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Members Present: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5"/>
        <w:gridCol w:w="5095"/>
        <w:tblGridChange w:id="0">
          <w:tblGrid>
            <w:gridCol w:w="5095"/>
            <w:gridCol w:w="5095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Kelly Brown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Ellie Kohler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Phylis Holzenberg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Renee Gorrell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Theresa Flett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Micah Wulfers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Donna Bacon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Stephen Strohl - Not Present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Christina Virden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Missouri History Museum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XPLORE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Rockhurst University -- 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ANSAS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Missouri Southern State University -- SWAN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Drury University -- SWAN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Goldfarb School of Nursing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-- EXPLORE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St. Charles Community College - ARCHWAY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Tulsa City County Library -- Stand Alone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MOBIUS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MOBIUS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MOBIUS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Call to order and introductions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Adoption of the agenda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Initial Meeting /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Information Items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Discussion of the purpose of the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Discussion of timeline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scope of work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Copyright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Begin considering how we want to approach copyright and what we need to understand about copyright (fair use, Sections 107 &amp; 108, CONTU).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rPr>
          <w:b w:val="0"/>
          <w:sz w:val="22"/>
          <w:szCs w:val="22"/>
        </w:rPr>
      </w:pPr>
      <w:hyperlink r:id="rId5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vertAlign w:val="baseline"/>
            <w:rtl w:val="0"/>
          </w:rPr>
          <w:t xml:space="preserve">Recommended copyright courses</w:t>
        </w:r>
      </w:hyperlink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 and materials.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Discussion of policy issues that need to be decided.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Eligible libraries, responsibilities of participating libraries, limits on requests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standards for scans,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Discussion of existing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2"/>
          <w:szCs w:val="22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MeLCat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2"/>
          <w:szCs w:val="22"/>
          <w:u w:val="non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Bonus+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Next Steps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Background material via the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MOBIUS’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Adjourn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[Name of person submitting minutes, if not noted as secretary in list of members]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350" w:top="63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Page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Agenda</w:t>
    </w: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 of the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-383539</wp:posOffset>
          </wp:positionH>
          <wp:positionV relativeFrom="paragraph">
            <wp:posOffset>-57784</wp:posOffset>
          </wp:positionV>
          <wp:extent cx="2466975" cy="8001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69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MOBIUS ArticleReach Implementation Committee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Meeting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September 21, 2016, 10:00am, Online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rive.google.com/open?id=0B08Z3f0P7npIbG8xV3psYUI0Tm8" TargetMode="External"/><Relationship Id="rId5" Type="http://schemas.openxmlformats.org/officeDocument/2006/relationships/hyperlink" Target="https://docs.google.com/document/d/17PsTQcS0RZFdMEbmrnULBQr-BQSteqyqyqDPeKyEEi4/edit?usp=sharing" TargetMode="External"/><Relationship Id="rId6" Type="http://schemas.openxmlformats.org/officeDocument/2006/relationships/hyperlink" Target="https://docs.google.com/document/d/17PsTQcS0RZFdMEbmrnULBQr-BQSteqyqyqDPeKyEEi4/edit?usp=sharing" TargetMode="External"/><Relationship Id="rId7" Type="http://schemas.openxmlformats.org/officeDocument/2006/relationships/hyperlink" Target="https://www.mcls.org/mel/melcat/policies-and-procedures/articlereach-policies/" TargetMode="External"/><Relationship Id="rId8" Type="http://schemas.openxmlformats.org/officeDocument/2006/relationships/hyperlink" Target="https://drive.google.com/open?id=0B81R4JvxxEPlOGMwM2QyMWYtZmZmZS00Y2JlLThmNDktN2E3YTdlYzQwNGI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