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b w:val="1"/>
          <w:sz w:val="28"/>
          <w:szCs w:val="28"/>
        </w:rPr>
      </w:pPr>
      <w:r w:rsidDel="00000000" w:rsidR="00000000" w:rsidRPr="00000000">
        <w:rPr/>
        <w:drawing>
          <wp:inline distB="0" distT="0" distL="0" distR="0">
            <wp:extent cx="2468880" cy="804672"/>
            <wp:effectExtent b="0" l="0" r="0" t="0"/>
            <wp:docPr descr="MOBIUS logo" id="3" name="image1.png"/>
            <a:graphic>
              <a:graphicData uri="http://schemas.openxmlformats.org/drawingml/2006/picture">
                <pic:pic>
                  <pic:nvPicPr>
                    <pic:cNvPr descr="MOBIUS logo" id="0" name="image1.png"/>
                    <pic:cNvPicPr preferRelativeResize="0"/>
                  </pic:nvPicPr>
                  <pic:blipFill>
                    <a:blip r:embed="rId7"/>
                    <a:srcRect b="0" l="0" r="0" t="0"/>
                    <a:stretch>
                      <a:fillRect/>
                    </a:stretch>
                  </pic:blipFill>
                  <pic:spPr>
                    <a:xfrm>
                      <a:off x="0" y="0"/>
                      <a:ext cx="2468880" cy="80467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Minutes of the MOBIUS Cataloging Committee</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Meeting </w:t>
      </w:r>
      <w:r w:rsidDel="00000000" w:rsidR="00000000" w:rsidRPr="00000000">
        <w:rPr>
          <w:rtl w:val="0"/>
        </w:rPr>
        <w:t xml:space="preserve">October 09</w:t>
      </w:r>
      <w:r w:rsidDel="00000000" w:rsidR="00000000" w:rsidRPr="00000000">
        <w:rPr>
          <w:rFonts w:ascii="Calibri" w:cs="Calibri" w:eastAsia="Calibri" w:hAnsi="Calibri"/>
          <w:rtl w:val="0"/>
        </w:rPr>
        <w:t xml:space="preserve">, 2024, 10-11 am via Zoom</w:t>
      </w:r>
    </w:p>
    <w:p w:rsidR="00000000" w:rsidDel="00000000" w:rsidP="00000000" w:rsidRDefault="00000000" w:rsidRPr="00000000" w14:paraId="0000000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Members Present</w:t>
      </w:r>
    </w:p>
    <w:p w:rsidR="00000000" w:rsidDel="00000000" w:rsidP="00000000" w:rsidRDefault="00000000" w:rsidRPr="00000000" w14:paraId="00000007">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Sarah Jones, Northwest Missouri State University; Committee Chair</w:t>
      </w:r>
    </w:p>
    <w:p w:rsidR="00000000" w:rsidDel="00000000" w:rsidP="00000000" w:rsidRDefault="00000000" w:rsidRPr="00000000" w14:paraId="00000008">
      <w:pPr>
        <w:keepNext w:val="1"/>
        <w:keepLines w:val="1"/>
        <w:numPr>
          <w:ilvl w:val="0"/>
          <w:numId w:val="5"/>
        </w:numPr>
        <w:spacing w:before="40" w:lineRule="auto"/>
        <w:ind w:left="720" w:hanging="360"/>
      </w:pPr>
      <w:r w:rsidDel="00000000" w:rsidR="00000000" w:rsidRPr="00000000">
        <w:rPr>
          <w:color w:val="404040"/>
          <w:rtl w:val="0"/>
        </w:rPr>
        <w:t xml:space="preserve">Phyllis Holzenberg, Drury University; Committee Vice-Chair</w:t>
      </w:r>
    </w:p>
    <w:p w:rsidR="00000000" w:rsidDel="00000000" w:rsidP="00000000" w:rsidRDefault="00000000" w:rsidRPr="00000000" w14:paraId="00000009">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Jill Mahoney, William Woods University; Board Liaison</w:t>
      </w:r>
    </w:p>
    <w:p w:rsidR="00000000" w:rsidDel="00000000" w:rsidP="00000000" w:rsidRDefault="00000000" w:rsidRPr="00000000" w14:paraId="0000000A">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Becky Givens, Covenant Theological Seminary</w:t>
      </w:r>
    </w:p>
    <w:p w:rsidR="00000000" w:rsidDel="00000000" w:rsidP="00000000" w:rsidRDefault="00000000" w:rsidRPr="00000000" w14:paraId="0000000B">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DeAnn Isenhower, Missouri Southern State University</w:t>
      </w:r>
    </w:p>
    <w:p w:rsidR="00000000" w:rsidDel="00000000" w:rsidP="00000000" w:rsidRDefault="00000000" w:rsidRPr="00000000" w14:paraId="0000000C">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Richard Leach-Steffens, Conception Abbey &amp; Seminary</w:t>
      </w:r>
    </w:p>
    <w:p w:rsidR="00000000" w:rsidDel="00000000" w:rsidP="00000000" w:rsidRDefault="00000000" w:rsidRPr="00000000" w14:paraId="0000000D">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Nicole Merzweiler, University of Missouri – Columbia</w:t>
      </w:r>
    </w:p>
    <w:p w:rsidR="00000000" w:rsidDel="00000000" w:rsidP="00000000" w:rsidRDefault="00000000" w:rsidRPr="00000000" w14:paraId="0000000E">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Julianne Newbury, Rockhurst University</w:t>
      </w:r>
    </w:p>
    <w:p w:rsidR="00000000" w:rsidDel="00000000" w:rsidP="00000000" w:rsidRDefault="00000000" w:rsidRPr="00000000" w14:paraId="0000000F">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Michala Peterman, Culver-Stockton College</w:t>
      </w:r>
    </w:p>
    <w:p w:rsidR="00000000" w:rsidDel="00000000" w:rsidP="00000000" w:rsidRDefault="00000000" w:rsidRPr="00000000" w14:paraId="00000010">
      <w:pPr>
        <w:keepNext w:val="1"/>
        <w:keepLines w:val="1"/>
        <w:numPr>
          <w:ilvl w:val="0"/>
          <w:numId w:val="1"/>
        </w:numPr>
        <w:spacing w:before="40" w:lineRule="auto"/>
        <w:ind w:left="720" w:hanging="360"/>
        <w:rPr>
          <w:rFonts w:ascii="Noto Sans Symbols" w:cs="Noto Sans Symbols" w:eastAsia="Noto Sans Symbols" w:hAnsi="Noto Sans Symbols"/>
          <w:color w:val="404040"/>
        </w:rPr>
      </w:pPr>
      <w:r w:rsidDel="00000000" w:rsidR="00000000" w:rsidRPr="00000000">
        <w:rPr>
          <w:color w:val="404040"/>
          <w:rtl w:val="0"/>
        </w:rPr>
        <w:t xml:space="preserve">Richard Pitaniello, Truman State University</w:t>
      </w:r>
      <w:r w:rsidDel="00000000" w:rsidR="00000000" w:rsidRPr="00000000">
        <w:rPr>
          <w:rtl w:val="0"/>
        </w:rPr>
      </w:r>
    </w:p>
    <w:p w:rsidR="00000000" w:rsidDel="00000000" w:rsidP="00000000" w:rsidRDefault="00000000" w:rsidRPr="00000000" w14:paraId="00000011">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Julie Portman, Saint Louis University</w:t>
      </w:r>
    </w:p>
    <w:p w:rsidR="00000000" w:rsidDel="00000000" w:rsidP="00000000" w:rsidRDefault="00000000" w:rsidRPr="00000000" w14:paraId="00000012">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Rachel Utrecht, William Woods University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Members Absent</w:t>
      </w:r>
    </w:p>
    <w:p w:rsidR="00000000" w:rsidDel="00000000" w:rsidP="00000000" w:rsidRDefault="00000000" w:rsidRPr="00000000" w14:paraId="00000015">
      <w:pPr>
        <w:keepNext w:val="1"/>
        <w:keepLines w:val="1"/>
        <w:numPr>
          <w:ilvl w:val="0"/>
          <w:numId w:val="3"/>
        </w:numPr>
        <w:spacing w:before="40" w:lineRule="auto"/>
        <w:ind w:left="720" w:hanging="360"/>
        <w:rPr>
          <w:color w:val="404040"/>
        </w:rPr>
      </w:pPr>
      <w:r w:rsidDel="00000000" w:rsidR="00000000" w:rsidRPr="00000000">
        <w:rPr>
          <w:color w:val="404040"/>
          <w:rtl w:val="0"/>
        </w:rPr>
        <w:t xml:space="preserve">Vivian Gould, MOBIUS Consortium Office; MCO Liaison</w:t>
      </w:r>
    </w:p>
    <w:p w:rsidR="00000000" w:rsidDel="00000000" w:rsidP="00000000" w:rsidRDefault="00000000" w:rsidRPr="00000000" w14:paraId="00000016">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Donna Bacon, Ex-Officio, MOBIUS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404040"/>
          <w:sz w:val="22"/>
          <w:szCs w:val="22"/>
        </w:rPr>
      </w:pPr>
      <w:r w:rsidDel="00000000" w:rsidR="00000000" w:rsidRPr="00000000">
        <w:rPr>
          <w:rFonts w:ascii="Calibri" w:cs="Calibri" w:eastAsia="Calibri" w:hAnsi="Calibri"/>
          <w:color w:val="404040"/>
          <w:sz w:val="22"/>
          <w:szCs w:val="22"/>
          <w:rtl w:val="0"/>
        </w:rPr>
        <w:t xml:space="preserve">Meeting Minutes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Meeting was called to order at 10:01 am.</w:t>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Adoption of the agenda</w:t>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The agenda adopted without changes (</w:t>
      </w:r>
      <w:r w:rsidDel="00000000" w:rsidR="00000000" w:rsidRPr="00000000">
        <w:rPr>
          <w:color w:val="404040"/>
          <w:rtl w:val="0"/>
        </w:rPr>
        <w:t xml:space="preserve">Julie</w:t>
      </w: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 moved; </w:t>
      </w:r>
      <w:r w:rsidDel="00000000" w:rsidR="00000000" w:rsidRPr="00000000">
        <w:rPr>
          <w:color w:val="404040"/>
          <w:rtl w:val="0"/>
        </w:rPr>
        <w:t xml:space="preserve">Becky</w:t>
      </w: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 seconded; motion adopted unanimously)</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items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Sarah mentioned the postponement of the transition to Quesnelia until November.</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Old business</w:t>
      </w:r>
    </w:p>
    <w:p w:rsidR="00000000" w:rsidDel="00000000" w:rsidP="00000000" w:rsidRDefault="00000000" w:rsidRPr="00000000" w14:paraId="00000024">
      <w:pPr>
        <w:numPr>
          <w:ilvl w:val="1"/>
          <w:numId w:val="2"/>
        </w:numPr>
        <w:ind w:left="1440" w:hanging="360"/>
      </w:pPr>
      <w:r w:rsidDel="00000000" w:rsidR="00000000" w:rsidRPr="00000000">
        <w:rPr>
          <w:rtl w:val="0"/>
        </w:rPr>
        <w:t xml:space="preserve">Maintenance of shared MARC records (Sarah)</w:t>
      </w:r>
    </w:p>
    <w:p w:rsidR="00000000" w:rsidDel="00000000" w:rsidP="00000000" w:rsidRDefault="00000000" w:rsidRPr="00000000" w14:paraId="00000025">
      <w:pPr>
        <w:numPr>
          <w:ilvl w:val="2"/>
          <w:numId w:val="2"/>
        </w:numPr>
        <w:ind w:left="2160" w:hanging="180"/>
      </w:pPr>
      <w:r w:rsidDel="00000000" w:rsidR="00000000" w:rsidRPr="00000000">
        <w:rPr>
          <w:rtl w:val="0"/>
        </w:rPr>
        <w:t xml:space="preserve">Review of MERLIN Cataloging document</w:t>
      </w:r>
    </w:p>
    <w:p w:rsidR="00000000" w:rsidDel="00000000" w:rsidP="00000000" w:rsidRDefault="00000000" w:rsidRPr="00000000" w14:paraId="00000026">
      <w:pPr>
        <w:numPr>
          <w:ilvl w:val="2"/>
          <w:numId w:val="2"/>
        </w:numPr>
        <w:ind w:left="2160" w:hanging="180"/>
      </w:pPr>
      <w:r w:rsidDel="00000000" w:rsidR="00000000" w:rsidRPr="00000000">
        <w:rPr>
          <w:rtl w:val="0"/>
        </w:rPr>
        <w:t xml:space="preserve">Review of SWAN Cataloging document</w:t>
      </w:r>
    </w:p>
    <w:p w:rsidR="00000000" w:rsidDel="00000000" w:rsidP="00000000" w:rsidRDefault="00000000" w:rsidRPr="00000000" w14:paraId="00000027">
      <w:pPr>
        <w:ind w:left="1440" w:firstLine="0"/>
        <w:rPr/>
      </w:pPr>
      <w:r w:rsidDel="00000000" w:rsidR="00000000" w:rsidRPr="00000000">
        <w:rPr>
          <w:rtl w:val="0"/>
        </w:rPr>
        <w:t xml:space="preserve">There was discussion of which structure was preferred to work on first. It was decided that working on the MERLIN formatted document first made the most sense as it is more succinct, and that a more fleshed out document like the SWAN format can be worked on later. Sarah offered to create a shared document in Google Drive for the committee to work on.  It was discussed whether assigning fields to individuals or teams would be beneficial, but it was decided to leave it open ended for anyone to work on as desired for now.</w:t>
      </w:r>
    </w:p>
    <w:p w:rsidR="00000000" w:rsidDel="00000000" w:rsidP="00000000" w:rsidRDefault="00000000" w:rsidRPr="00000000" w14:paraId="00000028">
      <w:pPr>
        <w:numPr>
          <w:ilvl w:val="1"/>
          <w:numId w:val="2"/>
        </w:numPr>
        <w:ind w:left="1440" w:hanging="360"/>
      </w:pPr>
      <w:r w:rsidDel="00000000" w:rsidR="00000000" w:rsidRPr="00000000">
        <w:rPr>
          <w:rtl w:val="0"/>
        </w:rPr>
        <w:t xml:space="preserve">Procedure for deleting shared MARC records (Sarah)</w:t>
      </w:r>
    </w:p>
    <w:p w:rsidR="00000000" w:rsidDel="00000000" w:rsidP="00000000" w:rsidRDefault="00000000" w:rsidRPr="00000000" w14:paraId="00000029">
      <w:pPr>
        <w:ind w:left="1440" w:firstLine="0"/>
        <w:rPr/>
      </w:pPr>
      <w:r w:rsidDel="00000000" w:rsidR="00000000" w:rsidRPr="00000000">
        <w:rPr>
          <w:rtl w:val="0"/>
        </w:rPr>
        <w:t xml:space="preserve">Sarah had an update on whether you are able to suppress and/or mark an instance for deletion if it has an order record attached to it. She shared that nothing stopped you from suppressing/marking for deletion with an item attached, and that doing so did not impact the order record in any way.  She mentioned that hopefully once they get to the point where it is possible to delete an instance, it will work in a similar way to other levels of records in that it will not let you delete a “parent” record with other types of records attached.</w:t>
      </w:r>
    </w:p>
    <w:p w:rsidR="00000000" w:rsidDel="00000000" w:rsidP="00000000" w:rsidRDefault="00000000" w:rsidRPr="00000000" w14:paraId="0000002A">
      <w:pPr>
        <w:ind w:left="1440" w:firstLine="0"/>
        <w:rPr/>
      </w:pPr>
      <w:r w:rsidDel="00000000" w:rsidR="00000000" w:rsidRPr="00000000">
        <w:rPr>
          <w:rtl w:val="0"/>
        </w:rPr>
      </w:r>
    </w:p>
    <w:p w:rsidR="00000000" w:rsidDel="00000000" w:rsidP="00000000" w:rsidRDefault="00000000" w:rsidRPr="00000000" w14:paraId="0000002B">
      <w:pPr>
        <w:ind w:left="1440" w:firstLine="0"/>
        <w:rPr/>
      </w:pPr>
      <w:r w:rsidDel="00000000" w:rsidR="00000000" w:rsidRPr="00000000">
        <w:rPr>
          <w:rtl w:val="0"/>
        </w:rPr>
        <w:t xml:space="preserve">DeAnn brought up an email that had just come into the listserv asking about what libraries in the consortium are doing for withdrawing projects. Sarah mentioned that at Northwest they are putting all withdrawn items into a withdrawn location and suppressing the location as a whole from Locate. DeAnn mentioned marking those items with a status of Withdrawn so that it shows up in Locate with a status of “not available”. There was some discussion of which is more confusing for patrons and whether a fix is possible where Instances without holdings attached or those with holdings suppressed could be prevented from showing in Locate. </w:t>
      </w:r>
    </w:p>
    <w:p w:rsidR="00000000" w:rsidDel="00000000" w:rsidP="00000000" w:rsidRDefault="00000000" w:rsidRPr="00000000" w14:paraId="0000002C">
      <w:pPr>
        <w:ind w:left="1440" w:firstLine="0"/>
        <w:rPr/>
      </w:pPr>
      <w:r w:rsidDel="00000000" w:rsidR="00000000" w:rsidRPr="00000000">
        <w:rPr>
          <w:rtl w:val="0"/>
        </w:rPr>
      </w:r>
    </w:p>
    <w:p w:rsidR="00000000" w:rsidDel="00000000" w:rsidP="00000000" w:rsidRDefault="00000000" w:rsidRPr="00000000" w14:paraId="0000002D">
      <w:pPr>
        <w:keepNext w:val="1"/>
        <w:keepLines w:val="1"/>
        <w:numPr>
          <w:ilvl w:val="0"/>
          <w:numId w:val="4"/>
        </w:numPr>
        <w:spacing w:before="40" w:lineRule="auto"/>
        <w:ind w:left="1800" w:hanging="360"/>
      </w:pPr>
      <w:r w:rsidDel="00000000" w:rsidR="00000000" w:rsidRPr="00000000">
        <w:rPr>
          <w:color w:val="404040"/>
          <w:rtl w:val="0"/>
        </w:rPr>
        <w:t xml:space="preserve">Action Item: </w:t>
      </w:r>
      <w:r w:rsidDel="00000000" w:rsidR="00000000" w:rsidRPr="00000000">
        <w:rPr>
          <w:rtl w:val="0"/>
        </w:rPr>
        <w:t xml:space="preserve">Sarah will put together what the withdraw process was at Northwest to share out with the committee to look over and add to in order to later send some options/guidelines about what to do when withdrawing to the rest of the consortium.</w:t>
      </w:r>
      <w:r w:rsidDel="00000000" w:rsidR="00000000" w:rsidRPr="00000000">
        <w:rPr>
          <w:rtl w:val="0"/>
        </w:rPr>
      </w:r>
    </w:p>
    <w:p w:rsidR="00000000" w:rsidDel="00000000" w:rsidP="00000000" w:rsidRDefault="00000000" w:rsidRPr="00000000" w14:paraId="0000002E">
      <w:pPr>
        <w:keepNext w:val="1"/>
        <w:keepLines w:val="1"/>
        <w:spacing w:before="40" w:lineRule="auto"/>
        <w:ind w:left="1800" w:firstLine="0"/>
        <w:rPr>
          <w:color w:val="404040"/>
        </w:rPr>
      </w:pPr>
      <w:r w:rsidDel="00000000" w:rsidR="00000000" w:rsidRPr="00000000">
        <w:rPr>
          <w:rtl w:val="0"/>
        </w:rPr>
      </w:r>
    </w:p>
    <w:p w:rsidR="00000000" w:rsidDel="00000000" w:rsidP="00000000" w:rsidRDefault="00000000" w:rsidRPr="00000000" w14:paraId="0000002F">
      <w:pPr>
        <w:numPr>
          <w:ilvl w:val="1"/>
          <w:numId w:val="2"/>
        </w:numPr>
        <w:ind w:left="1440" w:hanging="360"/>
      </w:pPr>
      <w:r w:rsidDel="00000000" w:rsidR="00000000" w:rsidRPr="00000000">
        <w:rPr>
          <w:rtl w:val="0"/>
        </w:rPr>
        <w:t xml:space="preserve">Use of the GMD (245 $h) in shared MARC records (Sarah)</w:t>
      </w:r>
    </w:p>
    <w:p w:rsidR="00000000" w:rsidDel="00000000" w:rsidP="00000000" w:rsidRDefault="00000000" w:rsidRPr="00000000" w14:paraId="00000030">
      <w:pPr>
        <w:ind w:left="1440" w:firstLine="0"/>
        <w:rPr/>
      </w:pPr>
      <w:r w:rsidDel="00000000" w:rsidR="00000000" w:rsidRPr="00000000">
        <w:rPr>
          <w:rtl w:val="0"/>
        </w:rPr>
        <w:t xml:space="preserve">The committee confirmed that leaving 245 $h where they exist is the best practice for now.</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33">
      <w:pPr>
        <w:numPr>
          <w:ilvl w:val="1"/>
          <w:numId w:val="2"/>
        </w:numPr>
        <w:ind w:left="1440" w:hanging="360"/>
      </w:pPr>
      <w:r w:rsidDel="00000000" w:rsidR="00000000" w:rsidRPr="00000000">
        <w:rPr>
          <w:rtl w:val="0"/>
        </w:rPr>
        <w:t xml:space="preserve">eBooks in Locate (DeAnn)</w:t>
      </w:r>
    </w:p>
    <w:p w:rsidR="00000000" w:rsidDel="00000000" w:rsidP="00000000" w:rsidRDefault="00000000" w:rsidRPr="00000000" w14:paraId="00000034">
      <w:pPr>
        <w:ind w:left="1440" w:firstLine="0"/>
        <w:rPr/>
      </w:pPr>
      <w:r w:rsidDel="00000000" w:rsidR="00000000" w:rsidRPr="00000000">
        <w:rPr>
          <w:rtl w:val="0"/>
        </w:rPr>
        <w:t xml:space="preserve">DeAnn had a faculty member ask about whether all eBooks could be added to Locate so that they did not have to search separately in EDS. The committee noted the challenges of package titles changing and the inability to delete items. They also discussed the potential of uploading records manually, suggesting the use of item notes for easier searching, if there were records that needed to be showing in Locate.</w:t>
      </w:r>
    </w:p>
    <w:p w:rsidR="00000000" w:rsidDel="00000000" w:rsidP="00000000" w:rsidRDefault="00000000" w:rsidRPr="00000000" w14:paraId="00000035">
      <w:pPr>
        <w:spacing w:after="240" w:before="240" w:lineRule="auto"/>
        <w:ind w:left="1440" w:firstLine="0"/>
        <w:rPr/>
      </w:pPr>
      <w:r w:rsidDel="00000000" w:rsidR="00000000" w:rsidRPr="00000000">
        <w:rPr>
          <w:rtl w:val="0"/>
        </w:rPr>
        <w:t xml:space="preserve">Sarah, Rachel, Becky, and Julianne discussed issues related to eBooks and Open RS. They noted that eBooks were showing up in Open RS, which doesn't distinguish between physical monographs and eBooks, and this was a priority for Mobius and EBSCO. They also discussed the possibility of keeping certain items out of Open RS (i.e. by location)  to solve some eBook problems. Sarah mentioned that all holdings came over as physical in the material type, which could be an issue. </w:t>
      </w:r>
    </w:p>
    <w:p w:rsidR="00000000" w:rsidDel="00000000" w:rsidP="00000000" w:rsidRDefault="00000000" w:rsidRPr="00000000" w14:paraId="00000036">
      <w:pPr>
        <w:numPr>
          <w:ilvl w:val="1"/>
          <w:numId w:val="2"/>
        </w:numPr>
        <w:ind w:left="1440" w:hanging="360"/>
      </w:pPr>
      <w:r w:rsidDel="00000000" w:rsidR="00000000" w:rsidRPr="00000000">
        <w:rPr>
          <w:rtl w:val="0"/>
        </w:rPr>
        <w:t xml:space="preserve">Suppressed records (Julianne)</w:t>
      </w:r>
    </w:p>
    <w:p w:rsidR="00000000" w:rsidDel="00000000" w:rsidP="00000000" w:rsidRDefault="00000000" w:rsidRPr="00000000" w14:paraId="00000037">
      <w:pPr>
        <w:ind w:left="1440" w:firstLine="0"/>
        <w:rPr/>
      </w:pPr>
      <w:r w:rsidDel="00000000" w:rsidR="00000000" w:rsidRPr="00000000">
        <w:rPr>
          <w:rtl w:val="0"/>
        </w:rPr>
        <w:t xml:space="preserve">Julianne brought up a problem where an instance record was suppressed, affecting 35 libraries, and suggested this might be related to libraries suppressing their collections due to construction work. </w:t>
      </w:r>
    </w:p>
    <w:p w:rsidR="00000000" w:rsidDel="00000000" w:rsidP="00000000" w:rsidRDefault="00000000" w:rsidRPr="00000000" w14:paraId="00000038">
      <w:pPr>
        <w:keepNext w:val="1"/>
        <w:keepLines w:val="1"/>
        <w:numPr>
          <w:ilvl w:val="0"/>
          <w:numId w:val="4"/>
        </w:numPr>
        <w:spacing w:before="40" w:lineRule="auto"/>
        <w:ind w:left="1800" w:hanging="360"/>
      </w:pPr>
      <w:r w:rsidDel="00000000" w:rsidR="00000000" w:rsidRPr="00000000">
        <w:rPr>
          <w:color w:val="404040"/>
          <w:rtl w:val="0"/>
        </w:rPr>
        <w:t xml:space="preserve">Action Item: Julianne will investigate suppressed records in their collections</w:t>
      </w:r>
    </w:p>
    <w:p w:rsidR="00000000" w:rsidDel="00000000" w:rsidP="00000000" w:rsidRDefault="00000000" w:rsidRPr="00000000" w14:paraId="00000039">
      <w:pPr>
        <w:keepNext w:val="1"/>
        <w:keepLines w:val="1"/>
        <w:spacing w:before="40" w:lineRule="auto"/>
        <w:ind w:left="1800" w:firstLine="0"/>
        <w:rPr>
          <w:color w:val="404040"/>
        </w:rPr>
      </w:pPr>
      <w:r w:rsidDel="00000000" w:rsidR="00000000" w:rsidRPr="00000000">
        <w:rPr>
          <w:rtl w:val="0"/>
        </w:rPr>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Merged records in OpenRS (Julianne)</w:t>
      </w:r>
    </w:p>
    <w:p w:rsidR="00000000" w:rsidDel="00000000" w:rsidP="00000000" w:rsidRDefault="00000000" w:rsidRPr="00000000" w14:paraId="0000003B">
      <w:pPr>
        <w:ind w:left="1440" w:firstLine="0"/>
        <w:rPr/>
      </w:pPr>
      <w:r w:rsidDel="00000000" w:rsidR="00000000" w:rsidRPr="00000000">
        <w:rPr>
          <w:rtl w:val="0"/>
        </w:rPr>
        <w:t xml:space="preserve">The team discussed a known issue with merging records, particularly in relation to editions of books. They expressed concern about the lack of clear matching criteria and insufficient information in the records, which could lead to patrons receiving incorrect or outdated versions of requested items. </w:t>
      </w:r>
    </w:p>
    <w:p w:rsidR="00000000" w:rsidDel="00000000" w:rsidP="00000000" w:rsidRDefault="00000000" w:rsidRPr="00000000" w14:paraId="0000003C">
      <w:pPr>
        <w:keepNext w:val="1"/>
        <w:keepLines w:val="1"/>
        <w:numPr>
          <w:ilvl w:val="0"/>
          <w:numId w:val="4"/>
        </w:numPr>
        <w:spacing w:before="40" w:lineRule="auto"/>
        <w:ind w:left="1800" w:hanging="360"/>
      </w:pPr>
      <w:r w:rsidDel="00000000" w:rsidR="00000000" w:rsidRPr="00000000">
        <w:rPr>
          <w:color w:val="404040"/>
          <w:rtl w:val="0"/>
        </w:rPr>
        <w:t xml:space="preserve">Action Item: The committee will gather specific examples to present to Mobius and other relevant parties for investigation and potential solutions.</w:t>
      </w:r>
    </w:p>
    <w:p w:rsidR="00000000" w:rsidDel="00000000" w:rsidP="00000000" w:rsidRDefault="00000000" w:rsidRPr="00000000" w14:paraId="0000003D">
      <w:pPr>
        <w:keepNext w:val="1"/>
        <w:keepLines w:val="1"/>
        <w:spacing w:before="40" w:lineRule="auto"/>
        <w:ind w:left="1800" w:firstLine="0"/>
        <w:rPr>
          <w:color w:val="404040"/>
        </w:rPr>
      </w:pPr>
      <w:r w:rsidDel="00000000" w:rsidR="00000000" w:rsidRPr="00000000">
        <w:rPr>
          <w:rtl w:val="0"/>
        </w:rPr>
      </w:r>
    </w:p>
    <w:p w:rsidR="00000000" w:rsidDel="00000000" w:rsidP="00000000" w:rsidRDefault="00000000" w:rsidRPr="00000000" w14:paraId="0000003E">
      <w:pPr>
        <w:numPr>
          <w:ilvl w:val="1"/>
          <w:numId w:val="2"/>
        </w:numPr>
        <w:ind w:left="1440" w:hanging="360"/>
      </w:pPr>
      <w:r w:rsidDel="00000000" w:rsidR="00000000" w:rsidRPr="00000000">
        <w:rPr>
          <w:rtl w:val="0"/>
        </w:rPr>
        <w:t xml:space="preserve">Serials with canceled subscriptions (Richard P)</w:t>
      </w:r>
    </w:p>
    <w:p w:rsidR="00000000" w:rsidDel="00000000" w:rsidP="00000000" w:rsidRDefault="00000000" w:rsidRPr="00000000" w14:paraId="0000003F">
      <w:pPr>
        <w:ind w:left="1440" w:firstLine="0"/>
        <w:rPr>
          <w:color w:val="404040"/>
        </w:rPr>
      </w:pPr>
      <w:r w:rsidDel="00000000" w:rsidR="00000000" w:rsidRPr="00000000">
        <w:rPr>
          <w:color w:val="404040"/>
          <w:rtl w:val="0"/>
        </w:rPr>
        <w:t xml:space="preserve">Richard P. raised an issue about serials with canceled subscriptions still displaying a hyperlink. Despite efforts to suppress holdings, the link remained. Sarah suggested that the link might be in the instance record and recommended removing it if no one else was using it. </w:t>
      </w:r>
    </w:p>
    <w:p w:rsidR="00000000" w:rsidDel="00000000" w:rsidP="00000000" w:rsidRDefault="00000000" w:rsidRPr="00000000" w14:paraId="0000004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Meeting adjourned at 11:01 am (</w:t>
      </w:r>
      <w:r w:rsidDel="00000000" w:rsidR="00000000" w:rsidRPr="00000000">
        <w:rPr>
          <w:color w:val="404040"/>
          <w:rtl w:val="0"/>
        </w:rPr>
        <w:t xml:space="preserve">Nicole</w:t>
      </w: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 moved; </w:t>
      </w:r>
      <w:r w:rsidDel="00000000" w:rsidR="00000000" w:rsidRPr="00000000">
        <w:rPr>
          <w:color w:val="404040"/>
          <w:rtl w:val="0"/>
        </w:rPr>
        <w:t xml:space="preserve">Phyllis </w:t>
      </w: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seconded; all approved)</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right"/>
      <w:rPr>
        <w:rFonts w:ascii="Calibri" w:cs="Calibri" w:eastAsia="Calibri" w:hAnsi="Calibri"/>
      </w:rPr>
    </w:pPr>
    <w:r w:rsidDel="00000000" w:rsidR="00000000" w:rsidRPr="00000000">
      <w:rPr>
        <w:rFonts w:ascii="Calibri" w:cs="Calibri" w:eastAsia="Calibri" w:hAnsi="Calibri"/>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Fonts w:ascii="Calibri" w:cs="Calibri" w:eastAsia="Calibri" w:hAnsi="Calibri"/>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7"/>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5669"/>
    <w:rPr>
      <w:rFonts w:asciiTheme="minorHAnsi" w:hAnsiTheme="minorHAnsi"/>
      <w:sz w:val="22"/>
      <w:szCs w:val="24"/>
    </w:rPr>
  </w:style>
  <w:style w:type="paragraph" w:styleId="Heading1">
    <w:name w:val="heading 1"/>
    <w:aliases w:val="Heading 1sis"/>
    <w:basedOn w:val="Normal"/>
    <w:link w:val="Heading1Char"/>
    <w:uiPriority w:val="9"/>
    <w:qFormat w:val="1"/>
    <w:rsid w:val="00B97589"/>
    <w:pPr>
      <w:spacing w:after="100" w:afterAutospacing="1" w:before="100" w:beforeAutospacing="1"/>
      <w:outlineLvl w:val="0"/>
    </w:pPr>
    <w:rPr>
      <w:rFonts w:asciiTheme="majorHAnsi" w:hAnsiTheme="majorHAnsi"/>
      <w:b w:val="1"/>
      <w:bCs w:val="1"/>
      <w:kern w:val="36"/>
      <w:sz w:val="32"/>
      <w:szCs w:val="48"/>
    </w:rPr>
  </w:style>
  <w:style w:type="paragraph" w:styleId="Heading2">
    <w:name w:val="heading 2"/>
    <w:basedOn w:val="Normal"/>
    <w:next w:val="Normal"/>
    <w:link w:val="Heading2Char"/>
    <w:semiHidden w:val="1"/>
    <w:unhideWhenUsed w:val="1"/>
    <w:qFormat w:val="1"/>
    <w:rsid w:val="00324C6C"/>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302AA"/>
    <w:pPr>
      <w:ind w:left="720"/>
      <w:contextualSpacing w:val="1"/>
    </w:pPr>
  </w:style>
  <w:style w:type="table" w:styleId="TableGrid">
    <w:name w:val="Table Grid"/>
    <w:basedOn w:val="TableNormal"/>
    <w:rsid w:val="003D23C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customStyle="1">
    <w:name w:val="Heading 1 Char"/>
    <w:aliases w:val="Heading 1sis Char"/>
    <w:link w:val="Heading1"/>
    <w:uiPriority w:val="9"/>
    <w:rsid w:val="00B97589"/>
    <w:rPr>
      <w:rFonts w:asciiTheme="majorHAnsi" w:hAnsiTheme="majorHAnsi"/>
      <w:b w:val="1"/>
      <w:bCs w:val="1"/>
      <w:kern w:val="36"/>
      <w:sz w:val="32"/>
      <w:szCs w:val="48"/>
    </w:rPr>
  </w:style>
  <w:style w:type="character" w:styleId="apple-converted-space" w:customStyle="1">
    <w:name w:val="apple-converted-space"/>
    <w:basedOn w:val="DefaultParagraphFont"/>
    <w:rsid w:val="00EA7C9F"/>
  </w:style>
  <w:style w:type="character" w:styleId="Hyperlink">
    <w:name w:val="Hyperlink"/>
    <w:uiPriority w:val="99"/>
    <w:unhideWhenUsed w:val="1"/>
    <w:rsid w:val="00EA7C9F"/>
    <w:rPr>
      <w:color w:val="0000ff"/>
      <w:u w:val="single"/>
    </w:rPr>
  </w:style>
  <w:style w:type="paragraph" w:styleId="NormalWeb">
    <w:name w:val="Normal (Web)"/>
    <w:basedOn w:val="Normal"/>
    <w:uiPriority w:val="99"/>
    <w:unhideWhenUsed w:val="1"/>
    <w:rsid w:val="00EA7C9F"/>
    <w:pPr>
      <w:spacing w:after="100" w:afterAutospacing="1" w:before="100" w:beforeAutospacing="1"/>
    </w:pPr>
  </w:style>
  <w:style w:type="character" w:styleId="Strong">
    <w:name w:val="Strong"/>
    <w:uiPriority w:val="22"/>
    <w:qFormat w:val="1"/>
    <w:rsid w:val="00EA7C9F"/>
    <w:rPr>
      <w:b w:val="1"/>
      <w:bCs w:val="1"/>
    </w:rPr>
  </w:style>
  <w:style w:type="paragraph" w:styleId="BalloonText">
    <w:name w:val="Balloon Text"/>
    <w:basedOn w:val="Normal"/>
    <w:link w:val="BalloonTextChar"/>
    <w:rsid w:val="00B320EE"/>
    <w:rPr>
      <w:rFonts w:ascii="Tahoma" w:cs="Tahoma" w:hAnsi="Tahoma"/>
      <w:sz w:val="16"/>
      <w:szCs w:val="16"/>
    </w:rPr>
  </w:style>
  <w:style w:type="character" w:styleId="BalloonTextChar" w:customStyle="1">
    <w:name w:val="Balloon Text Char"/>
    <w:link w:val="BalloonText"/>
    <w:rsid w:val="00B320EE"/>
    <w:rPr>
      <w:rFonts w:ascii="Tahoma" w:cs="Tahoma" w:hAnsi="Tahoma"/>
      <w:sz w:val="16"/>
      <w:szCs w:val="16"/>
    </w:rPr>
  </w:style>
  <w:style w:type="paragraph" w:styleId="Header">
    <w:name w:val="header"/>
    <w:basedOn w:val="Normal"/>
    <w:link w:val="HeaderChar"/>
    <w:uiPriority w:val="99"/>
    <w:rsid w:val="00B320EE"/>
    <w:pPr>
      <w:tabs>
        <w:tab w:val="center" w:pos="4680"/>
        <w:tab w:val="right" w:pos="9360"/>
      </w:tabs>
    </w:pPr>
  </w:style>
  <w:style w:type="character" w:styleId="HeaderChar" w:customStyle="1">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styleId="FooterChar" w:customStyle="1">
    <w:name w:val="Footer Char"/>
    <w:link w:val="Footer"/>
    <w:uiPriority w:val="99"/>
    <w:rsid w:val="00B320EE"/>
    <w:rPr>
      <w:sz w:val="24"/>
      <w:szCs w:val="24"/>
    </w:rPr>
  </w:style>
  <w:style w:type="paragraph" w:styleId="Heading2sis" w:customStyle="1">
    <w:name w:val="Heading2sis"/>
    <w:basedOn w:val="Heading2"/>
    <w:link w:val="Heading2sisChar"/>
    <w:autoRedefine w:val="1"/>
    <w:qFormat w:val="1"/>
    <w:rsid w:val="00715FE7"/>
    <w:pPr>
      <w:ind w:left="1440"/>
    </w:pPr>
    <w:rPr>
      <w:rFonts w:asciiTheme="minorHAnsi" w:cstheme="minorHAnsi" w:hAnsiTheme="minorHAnsi"/>
      <w:noProof w:val="1"/>
      <w:color w:val="404040" w:themeColor="text1" w:themeTint="0000BF"/>
      <w:sz w:val="22"/>
      <w:szCs w:val="22"/>
    </w:rPr>
  </w:style>
  <w:style w:type="character" w:styleId="Heading2Char" w:customStyle="1">
    <w:name w:val="Heading 2 Char"/>
    <w:basedOn w:val="DefaultParagraphFont"/>
    <w:link w:val="Heading2"/>
    <w:semiHidden w:val="1"/>
    <w:rsid w:val="00324C6C"/>
    <w:rPr>
      <w:rFonts w:asciiTheme="majorHAnsi" w:cstheme="majorBidi" w:eastAsiaTheme="majorEastAsia" w:hAnsiTheme="majorHAnsi"/>
      <w:color w:val="2e74b5" w:themeColor="accent1" w:themeShade="0000BF"/>
      <w:sz w:val="26"/>
      <w:szCs w:val="26"/>
    </w:rPr>
  </w:style>
  <w:style w:type="character" w:styleId="Heading2sisChar" w:customStyle="1">
    <w:name w:val="Heading2sis Char"/>
    <w:basedOn w:val="Heading2Char"/>
    <w:link w:val="Heading2sis"/>
    <w:rsid w:val="00715FE7"/>
    <w:rPr>
      <w:rFonts w:asciiTheme="minorHAnsi" w:cstheme="minorHAnsi" w:eastAsiaTheme="majorEastAsia" w:hAnsiTheme="minorHAnsi"/>
      <w:noProof w:val="1"/>
      <w:color w:val="404040" w:themeColor="text1" w:themeTint="0000BF"/>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JMkzYx8Z3woQ5Wa28JrUwyfFjw==">CgMxLjA4AHIhMVpYMXNGLUpoZlc0eWR0enRWeFRlTGdlX0FTc0tZZmJo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2024-09-10T14:10:00Z</dcterms:created>
  <dc:creator>jaocaruthers</dc:creator>
</cp:coreProperties>
</file>