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747" w:rsidRPr="00D37747" w:rsidRDefault="00D37747" w:rsidP="00D37747">
      <w:pPr>
        <w:pStyle w:val="Heading1"/>
        <w:jc w:val="center"/>
        <w:rPr>
          <w:rFonts w:eastAsia="Calibri"/>
          <w:b/>
        </w:rPr>
      </w:pPr>
      <w:bookmarkStart w:id="0" w:name="_GoBack"/>
      <w:bookmarkEnd w:id="0"/>
      <w:r>
        <w:rPr>
          <w:rFonts w:eastAsia="Calibri"/>
          <w:b/>
        </w:rPr>
        <w:t>Order Record Status in Sierra</w:t>
      </w:r>
    </w:p>
    <w:p w:rsidR="00D37747" w:rsidRDefault="00D37747" w:rsidP="00D37747">
      <w:pPr>
        <w:spacing w:after="0"/>
        <w:ind w:left="720"/>
        <w:rPr>
          <w:rFonts w:ascii="Calibri" w:eastAsia="Calibri" w:hAnsi="Calibri" w:cs="Calibri"/>
          <w:sz w:val="24"/>
          <w:szCs w:val="24"/>
        </w:rPr>
      </w:pPr>
    </w:p>
    <w:p w:rsidR="004B1080" w:rsidRDefault="00D37747" w:rsidP="007A2342">
      <w:pPr>
        <w:spacing w:after="0"/>
        <w:rPr>
          <w:rFonts w:ascii="Calibri" w:eastAsia="Calibri" w:hAnsi="Calibri" w:cs="Calibri"/>
          <w:sz w:val="24"/>
          <w:szCs w:val="24"/>
        </w:rPr>
      </w:pPr>
      <w:r w:rsidRPr="004E5FD7">
        <w:rPr>
          <w:rFonts w:ascii="Calibri" w:eastAsia="Calibri" w:hAnsi="Calibri" w:cs="Calibri"/>
          <w:sz w:val="24"/>
          <w:szCs w:val="24"/>
        </w:rPr>
        <w:t>When an order is made, Sierra gives you the option of encumbering a fund associated with the order—earmarking the order’s estimated price.</w:t>
      </w:r>
      <w:r>
        <w:rPr>
          <w:rFonts w:ascii="Calibri" w:eastAsia="Calibri" w:hAnsi="Calibri" w:cs="Calibri"/>
          <w:sz w:val="24"/>
          <w:szCs w:val="24"/>
        </w:rPr>
        <w:t xml:space="preserve">  Whether or not a fund is encumbered has to do with</w:t>
      </w:r>
      <w:r w:rsidR="004B1080">
        <w:rPr>
          <w:rFonts w:ascii="Calibri" w:eastAsia="Calibri" w:hAnsi="Calibri" w:cs="Calibri"/>
          <w:sz w:val="24"/>
          <w:szCs w:val="24"/>
        </w:rPr>
        <w:t xml:space="preserve"> the STATUS of the order record.</w:t>
      </w:r>
      <w:r w:rsidR="00433898">
        <w:rPr>
          <w:rFonts w:ascii="Calibri" w:eastAsia="Calibri" w:hAnsi="Calibri" w:cs="Calibri"/>
          <w:sz w:val="24"/>
          <w:szCs w:val="24"/>
        </w:rPr>
        <w:t xml:space="preserve">  STATUS is also a good indicator of where the order record is in the Acquisitions workflow.</w:t>
      </w:r>
    </w:p>
    <w:p w:rsidR="00433898" w:rsidRDefault="00433898" w:rsidP="00433898">
      <w:pPr>
        <w:spacing w:after="0"/>
        <w:ind w:left="720"/>
        <w:rPr>
          <w:rFonts w:ascii="Calibri" w:eastAsia="Calibri" w:hAnsi="Calibri" w:cs="Calibri"/>
          <w:sz w:val="24"/>
          <w:szCs w:val="24"/>
        </w:rPr>
      </w:pPr>
    </w:p>
    <w:p w:rsidR="007A2342" w:rsidRDefault="00433898" w:rsidP="007A2342">
      <w:pPr>
        <w:pStyle w:val="Heading2"/>
        <w:rPr>
          <w:rFonts w:eastAsia="Calibri"/>
        </w:rPr>
      </w:pPr>
      <w:r>
        <w:rPr>
          <w:rFonts w:eastAsia="Calibri"/>
        </w:rPr>
        <w:t>Pending selection</w:t>
      </w:r>
    </w:p>
    <w:p w:rsidR="007A2342" w:rsidRPr="007A2342" w:rsidRDefault="007A2342" w:rsidP="007A2342">
      <w:r>
        <w:t>These statuses can be used for order records that have been created, but the title has not been ordered by the library from the vendor, or the library has decided to not order a title.</w:t>
      </w:r>
    </w:p>
    <w:tbl>
      <w:tblPr>
        <w:tblStyle w:val="TableGrid"/>
        <w:tblW w:w="7080" w:type="dxa"/>
        <w:tblInd w:w="1825" w:type="dxa"/>
        <w:tblLook w:val="04A0" w:firstRow="1" w:lastRow="0" w:firstColumn="1" w:lastColumn="0" w:noHBand="0" w:noVBand="1"/>
      </w:tblPr>
      <w:tblGrid>
        <w:gridCol w:w="960"/>
        <w:gridCol w:w="6120"/>
      </w:tblGrid>
      <w:tr w:rsidR="00433898" w:rsidRPr="004E5FD7" w:rsidTr="00965CF0">
        <w:tc>
          <w:tcPr>
            <w:tcW w:w="960" w:type="dxa"/>
          </w:tcPr>
          <w:p w:rsidR="00433898" w:rsidRPr="004E5FD7" w:rsidRDefault="00433898" w:rsidP="00965CF0">
            <w:pPr>
              <w:jc w:val="center"/>
              <w:rPr>
                <w:rFonts w:ascii="Calibri" w:eastAsia="Calibri" w:hAnsi="Calibri" w:cs="Calibri"/>
                <w:b/>
                <w:sz w:val="24"/>
                <w:szCs w:val="24"/>
              </w:rPr>
            </w:pPr>
            <w:r>
              <w:rPr>
                <w:rFonts w:ascii="Calibri" w:eastAsia="Calibri" w:hAnsi="Calibri" w:cs="Calibri"/>
                <w:b/>
                <w:sz w:val="24"/>
                <w:szCs w:val="24"/>
              </w:rPr>
              <w:t>Code</w:t>
            </w:r>
          </w:p>
        </w:tc>
        <w:tc>
          <w:tcPr>
            <w:tcW w:w="6120" w:type="dxa"/>
          </w:tcPr>
          <w:p w:rsidR="00433898" w:rsidRPr="004E5FD7" w:rsidRDefault="00433898" w:rsidP="00965CF0">
            <w:pPr>
              <w:jc w:val="center"/>
              <w:rPr>
                <w:rFonts w:ascii="Calibri" w:eastAsia="Calibri" w:hAnsi="Calibri" w:cs="Calibri"/>
                <w:b/>
                <w:sz w:val="24"/>
                <w:szCs w:val="24"/>
              </w:rPr>
            </w:pPr>
            <w:r>
              <w:rPr>
                <w:rFonts w:ascii="Calibri" w:eastAsia="Calibri" w:hAnsi="Calibri" w:cs="Calibri"/>
                <w:b/>
                <w:sz w:val="24"/>
                <w:szCs w:val="24"/>
              </w:rPr>
              <w:t>Action</w:t>
            </w:r>
          </w:p>
        </w:tc>
      </w:tr>
      <w:tr w:rsidR="00433898" w:rsidTr="00965CF0">
        <w:tc>
          <w:tcPr>
            <w:tcW w:w="960" w:type="dxa"/>
          </w:tcPr>
          <w:p w:rsidR="00433898" w:rsidRDefault="00433898" w:rsidP="00965CF0">
            <w:pPr>
              <w:jc w:val="center"/>
              <w:rPr>
                <w:rFonts w:ascii="Calibri" w:eastAsia="Calibri" w:hAnsi="Calibri" w:cs="Calibri"/>
                <w:sz w:val="24"/>
                <w:szCs w:val="24"/>
              </w:rPr>
            </w:pPr>
            <w:r>
              <w:rPr>
                <w:rFonts w:ascii="Calibri" w:eastAsia="Calibri" w:hAnsi="Calibri" w:cs="Calibri"/>
                <w:sz w:val="24"/>
                <w:szCs w:val="24"/>
              </w:rPr>
              <w:t>1</w:t>
            </w:r>
          </w:p>
        </w:tc>
        <w:tc>
          <w:tcPr>
            <w:tcW w:w="6120" w:type="dxa"/>
          </w:tcPr>
          <w:p w:rsidR="00433898" w:rsidRDefault="00433898" w:rsidP="00965CF0">
            <w:pPr>
              <w:rPr>
                <w:rFonts w:ascii="Calibri" w:eastAsia="Calibri" w:hAnsi="Calibri" w:cs="Calibri"/>
                <w:sz w:val="24"/>
                <w:szCs w:val="24"/>
              </w:rPr>
            </w:pPr>
            <w:r>
              <w:rPr>
                <w:rFonts w:ascii="Calibri" w:eastAsia="Calibri" w:hAnsi="Calibri" w:cs="Calibri"/>
                <w:sz w:val="24"/>
                <w:szCs w:val="24"/>
              </w:rPr>
              <w:t>ON HOLD – No encumbering.  This is used for orders under consideration, or that have not yet been ordered from vendor.</w:t>
            </w:r>
          </w:p>
        </w:tc>
      </w:tr>
      <w:tr w:rsidR="00433898" w:rsidTr="00965CF0">
        <w:tc>
          <w:tcPr>
            <w:tcW w:w="960" w:type="dxa"/>
          </w:tcPr>
          <w:p w:rsidR="00433898" w:rsidRDefault="00433898" w:rsidP="00965CF0">
            <w:pPr>
              <w:jc w:val="center"/>
              <w:rPr>
                <w:rFonts w:ascii="Calibri" w:eastAsia="Calibri" w:hAnsi="Calibri" w:cs="Calibri"/>
                <w:sz w:val="24"/>
                <w:szCs w:val="24"/>
              </w:rPr>
            </w:pPr>
            <w:r>
              <w:rPr>
                <w:rFonts w:ascii="Calibri" w:eastAsia="Calibri" w:hAnsi="Calibri" w:cs="Calibri"/>
                <w:sz w:val="24"/>
                <w:szCs w:val="24"/>
              </w:rPr>
              <w:t>2</w:t>
            </w:r>
          </w:p>
        </w:tc>
        <w:tc>
          <w:tcPr>
            <w:tcW w:w="6120" w:type="dxa"/>
          </w:tcPr>
          <w:p w:rsidR="00433898" w:rsidRDefault="00433898" w:rsidP="00965CF0">
            <w:pPr>
              <w:rPr>
                <w:rFonts w:ascii="Calibri" w:eastAsia="Calibri" w:hAnsi="Calibri" w:cs="Calibri"/>
                <w:sz w:val="24"/>
                <w:szCs w:val="24"/>
              </w:rPr>
            </w:pPr>
            <w:r>
              <w:rPr>
                <w:rFonts w:ascii="Calibri" w:eastAsia="Calibri" w:hAnsi="Calibri" w:cs="Calibri"/>
                <w:sz w:val="24"/>
                <w:szCs w:val="24"/>
              </w:rPr>
              <w:t>APPROVAL REJ—Marks as rejected, so that the order does not encumber a fund.</w:t>
            </w:r>
          </w:p>
        </w:tc>
      </w:tr>
    </w:tbl>
    <w:p w:rsidR="00433898" w:rsidRDefault="00433898" w:rsidP="00433898">
      <w:pPr>
        <w:spacing w:after="0"/>
        <w:ind w:left="720"/>
        <w:rPr>
          <w:rFonts w:ascii="Calibri" w:eastAsia="Calibri" w:hAnsi="Calibri" w:cs="Calibri"/>
          <w:sz w:val="24"/>
          <w:szCs w:val="24"/>
        </w:rPr>
      </w:pPr>
    </w:p>
    <w:p w:rsidR="00433898" w:rsidRDefault="00433898" w:rsidP="00433898">
      <w:pPr>
        <w:spacing w:after="0"/>
        <w:ind w:left="720"/>
        <w:rPr>
          <w:rFonts w:ascii="Calibri" w:eastAsia="Calibri" w:hAnsi="Calibri" w:cs="Calibri"/>
          <w:sz w:val="24"/>
          <w:szCs w:val="24"/>
        </w:rPr>
      </w:pPr>
    </w:p>
    <w:p w:rsidR="00433898" w:rsidRDefault="00433898" w:rsidP="00CB642B">
      <w:pPr>
        <w:pStyle w:val="Heading2"/>
        <w:rPr>
          <w:rFonts w:eastAsia="Calibri"/>
        </w:rPr>
      </w:pPr>
      <w:r>
        <w:rPr>
          <w:rFonts w:eastAsia="Calibri"/>
        </w:rPr>
        <w:t>Selecting titles from vendor</w:t>
      </w:r>
    </w:p>
    <w:p w:rsidR="00CB642B" w:rsidRPr="00163C23" w:rsidRDefault="00893460" w:rsidP="00163C23">
      <w:r>
        <w:t>When records have been ordered from the vendor</w:t>
      </w:r>
      <w:r w:rsidR="00A34A23">
        <w:t xml:space="preserve">, these statuses will </w:t>
      </w:r>
      <w:r w:rsidR="00A34A23">
        <w:rPr>
          <w:b/>
        </w:rPr>
        <w:t>encumber</w:t>
      </w:r>
      <w:r w:rsidR="00A34A23">
        <w:t xml:space="preserve"> (or, in the case of CANCELLED, </w:t>
      </w:r>
      <w:r w:rsidR="00A34A23">
        <w:rPr>
          <w:b/>
        </w:rPr>
        <w:t>disencumber</w:t>
      </w:r>
      <w:r w:rsidR="00A34A23">
        <w:t xml:space="preserve">) the order record’s </w:t>
      </w:r>
      <w:r w:rsidR="000A31EA">
        <w:t xml:space="preserve">fund.  An encumbrance marks an </w:t>
      </w:r>
      <w:r w:rsidR="00163C23">
        <w:t>amount of money to be set aside for the purchase of a title.</w:t>
      </w:r>
    </w:p>
    <w:tbl>
      <w:tblPr>
        <w:tblStyle w:val="TableGrid"/>
        <w:tblW w:w="7080" w:type="dxa"/>
        <w:tblInd w:w="1825" w:type="dxa"/>
        <w:tblLook w:val="04A0" w:firstRow="1" w:lastRow="0" w:firstColumn="1" w:lastColumn="0" w:noHBand="0" w:noVBand="1"/>
      </w:tblPr>
      <w:tblGrid>
        <w:gridCol w:w="960"/>
        <w:gridCol w:w="6120"/>
      </w:tblGrid>
      <w:tr w:rsidR="00433898" w:rsidTr="00965CF0">
        <w:tc>
          <w:tcPr>
            <w:tcW w:w="960" w:type="dxa"/>
          </w:tcPr>
          <w:p w:rsidR="00433898" w:rsidRPr="00433898" w:rsidRDefault="00433898" w:rsidP="00965CF0">
            <w:pPr>
              <w:jc w:val="center"/>
              <w:rPr>
                <w:rFonts w:ascii="Calibri" w:eastAsia="Calibri" w:hAnsi="Calibri" w:cs="Calibri"/>
                <w:b/>
                <w:sz w:val="24"/>
                <w:szCs w:val="24"/>
              </w:rPr>
            </w:pPr>
            <w:r>
              <w:rPr>
                <w:rFonts w:ascii="Calibri" w:eastAsia="Calibri" w:hAnsi="Calibri" w:cs="Calibri"/>
                <w:b/>
                <w:sz w:val="24"/>
                <w:szCs w:val="24"/>
              </w:rPr>
              <w:t>Code</w:t>
            </w:r>
          </w:p>
        </w:tc>
        <w:tc>
          <w:tcPr>
            <w:tcW w:w="6120" w:type="dxa"/>
          </w:tcPr>
          <w:p w:rsidR="00433898" w:rsidRPr="00433898" w:rsidRDefault="00433898" w:rsidP="00433898">
            <w:pPr>
              <w:jc w:val="center"/>
              <w:rPr>
                <w:rFonts w:ascii="Calibri" w:eastAsia="Calibri" w:hAnsi="Calibri" w:cs="Calibri"/>
                <w:sz w:val="24"/>
                <w:szCs w:val="24"/>
              </w:rPr>
            </w:pPr>
            <w:r>
              <w:rPr>
                <w:rFonts w:ascii="Calibri" w:eastAsia="Calibri" w:hAnsi="Calibri" w:cs="Calibri"/>
                <w:b/>
                <w:sz w:val="24"/>
                <w:szCs w:val="24"/>
              </w:rPr>
              <w:t>Action</w:t>
            </w:r>
          </w:p>
        </w:tc>
      </w:tr>
      <w:tr w:rsidR="00433898" w:rsidTr="00965CF0">
        <w:tc>
          <w:tcPr>
            <w:tcW w:w="960" w:type="dxa"/>
          </w:tcPr>
          <w:p w:rsidR="00433898" w:rsidRDefault="00433898" w:rsidP="00965CF0">
            <w:pPr>
              <w:jc w:val="center"/>
              <w:rPr>
                <w:rFonts w:ascii="Calibri" w:eastAsia="Calibri" w:hAnsi="Calibri" w:cs="Calibri"/>
                <w:sz w:val="24"/>
                <w:szCs w:val="24"/>
              </w:rPr>
            </w:pPr>
            <w:r>
              <w:rPr>
                <w:rFonts w:ascii="Calibri" w:eastAsia="Calibri" w:hAnsi="Calibri" w:cs="Calibri"/>
                <w:sz w:val="24"/>
                <w:szCs w:val="24"/>
              </w:rPr>
              <w:t>o</w:t>
            </w:r>
          </w:p>
        </w:tc>
        <w:tc>
          <w:tcPr>
            <w:tcW w:w="6120" w:type="dxa"/>
          </w:tcPr>
          <w:p w:rsidR="00433898" w:rsidRDefault="00433898" w:rsidP="00965CF0">
            <w:pPr>
              <w:rPr>
                <w:rFonts w:ascii="Calibri" w:eastAsia="Calibri" w:hAnsi="Calibri" w:cs="Calibri"/>
                <w:sz w:val="24"/>
                <w:szCs w:val="24"/>
              </w:rPr>
            </w:pPr>
            <w:r>
              <w:rPr>
                <w:rFonts w:ascii="Calibri" w:eastAsia="Calibri" w:hAnsi="Calibri" w:cs="Calibri"/>
                <w:sz w:val="24"/>
                <w:szCs w:val="24"/>
              </w:rPr>
              <w:t>ON ORDER – Sierra encumbers the fund at an amount equal to order record’s EPRICE</w:t>
            </w:r>
            <w:r w:rsidR="000A31EA">
              <w:rPr>
                <w:rFonts w:ascii="Calibri" w:eastAsia="Calibri" w:hAnsi="Calibri" w:cs="Calibri"/>
                <w:sz w:val="24"/>
                <w:szCs w:val="24"/>
              </w:rPr>
              <w:t xml:space="preserve"> multiplied by its COPIES</w:t>
            </w:r>
          </w:p>
        </w:tc>
      </w:tr>
      <w:tr w:rsidR="00433898" w:rsidTr="00965CF0">
        <w:tc>
          <w:tcPr>
            <w:tcW w:w="960" w:type="dxa"/>
          </w:tcPr>
          <w:p w:rsidR="00433898" w:rsidRDefault="00433898" w:rsidP="00965CF0">
            <w:pPr>
              <w:jc w:val="center"/>
              <w:rPr>
                <w:rFonts w:ascii="Calibri" w:eastAsia="Calibri" w:hAnsi="Calibri" w:cs="Calibri"/>
                <w:sz w:val="24"/>
                <w:szCs w:val="24"/>
              </w:rPr>
            </w:pPr>
            <w:r>
              <w:rPr>
                <w:rFonts w:ascii="Calibri" w:eastAsia="Calibri" w:hAnsi="Calibri" w:cs="Calibri"/>
                <w:sz w:val="24"/>
                <w:szCs w:val="24"/>
              </w:rPr>
              <w:t>c</w:t>
            </w:r>
          </w:p>
        </w:tc>
        <w:tc>
          <w:tcPr>
            <w:tcW w:w="6120" w:type="dxa"/>
          </w:tcPr>
          <w:p w:rsidR="00433898" w:rsidRDefault="00433898" w:rsidP="00965CF0">
            <w:pPr>
              <w:rPr>
                <w:rFonts w:ascii="Calibri" w:eastAsia="Calibri" w:hAnsi="Calibri" w:cs="Calibri"/>
                <w:sz w:val="24"/>
                <w:szCs w:val="24"/>
              </w:rPr>
            </w:pPr>
            <w:r>
              <w:rPr>
                <w:rFonts w:ascii="Calibri" w:eastAsia="Calibri" w:hAnsi="Calibri" w:cs="Calibri"/>
                <w:sz w:val="24"/>
                <w:szCs w:val="24"/>
              </w:rPr>
              <w:t>SER ON ORDER—Encumbers the fund at amount equal to order record’s EPRICE.  Helpful in distinguishing serial orders from firm orders</w:t>
            </w:r>
          </w:p>
        </w:tc>
      </w:tr>
      <w:tr w:rsidR="00433898" w:rsidTr="00965CF0">
        <w:tc>
          <w:tcPr>
            <w:tcW w:w="960" w:type="dxa"/>
          </w:tcPr>
          <w:p w:rsidR="00433898" w:rsidRDefault="00433898" w:rsidP="00965CF0">
            <w:pPr>
              <w:jc w:val="center"/>
              <w:rPr>
                <w:rFonts w:ascii="Calibri" w:eastAsia="Calibri" w:hAnsi="Calibri" w:cs="Calibri"/>
                <w:sz w:val="24"/>
                <w:szCs w:val="24"/>
              </w:rPr>
            </w:pPr>
            <w:r>
              <w:rPr>
                <w:rFonts w:ascii="Calibri" w:eastAsia="Calibri" w:hAnsi="Calibri" w:cs="Calibri"/>
                <w:sz w:val="24"/>
                <w:szCs w:val="24"/>
              </w:rPr>
              <w:t>f</w:t>
            </w:r>
          </w:p>
        </w:tc>
        <w:tc>
          <w:tcPr>
            <w:tcW w:w="6120" w:type="dxa"/>
          </w:tcPr>
          <w:p w:rsidR="00433898" w:rsidRDefault="00433898" w:rsidP="00965CF0">
            <w:pPr>
              <w:rPr>
                <w:rFonts w:ascii="Calibri" w:eastAsia="Calibri" w:hAnsi="Calibri" w:cs="Calibri"/>
                <w:sz w:val="24"/>
                <w:szCs w:val="24"/>
              </w:rPr>
            </w:pPr>
            <w:r>
              <w:rPr>
                <w:rFonts w:ascii="Calibri" w:eastAsia="Calibri" w:hAnsi="Calibri" w:cs="Calibri"/>
                <w:sz w:val="24"/>
                <w:szCs w:val="24"/>
              </w:rPr>
              <w:t>SERIAL NO ENC—Does not encumber or disencumber a fund, but allows payments on the order to be made.  Often used for subscriptions.</w:t>
            </w:r>
          </w:p>
        </w:tc>
      </w:tr>
      <w:tr w:rsidR="00433898" w:rsidTr="00965CF0">
        <w:tc>
          <w:tcPr>
            <w:tcW w:w="960" w:type="dxa"/>
          </w:tcPr>
          <w:p w:rsidR="00433898" w:rsidRPr="006B78A2" w:rsidRDefault="00433898" w:rsidP="00965CF0">
            <w:pPr>
              <w:jc w:val="center"/>
              <w:rPr>
                <w:rFonts w:ascii="Calibri" w:eastAsia="Calibri" w:hAnsi="Calibri" w:cs="Calibri"/>
                <w:sz w:val="24"/>
                <w:szCs w:val="24"/>
              </w:rPr>
            </w:pPr>
            <w:r>
              <w:rPr>
                <w:rFonts w:ascii="Calibri" w:eastAsia="Calibri" w:hAnsi="Calibri" w:cs="Calibri"/>
                <w:sz w:val="24"/>
                <w:szCs w:val="24"/>
              </w:rPr>
              <w:t>g</w:t>
            </w:r>
          </w:p>
        </w:tc>
        <w:tc>
          <w:tcPr>
            <w:tcW w:w="6120" w:type="dxa"/>
          </w:tcPr>
          <w:p w:rsidR="00433898" w:rsidRDefault="00433898" w:rsidP="00965CF0">
            <w:pPr>
              <w:rPr>
                <w:rFonts w:ascii="Calibri" w:eastAsia="Calibri" w:hAnsi="Calibri" w:cs="Calibri"/>
                <w:sz w:val="24"/>
                <w:szCs w:val="24"/>
              </w:rPr>
            </w:pPr>
            <w:r>
              <w:rPr>
                <w:rFonts w:ascii="Calibri" w:eastAsia="Calibri" w:hAnsi="Calibri" w:cs="Calibri"/>
                <w:sz w:val="24"/>
                <w:szCs w:val="24"/>
              </w:rPr>
              <w:t>SERIAL LIENED—No encumbrance when order is created, but disencumbers the fund when a payment is made.  Also used for subscriptions.</w:t>
            </w:r>
          </w:p>
        </w:tc>
      </w:tr>
      <w:tr w:rsidR="00433898" w:rsidTr="00965CF0">
        <w:tc>
          <w:tcPr>
            <w:tcW w:w="960" w:type="dxa"/>
          </w:tcPr>
          <w:p w:rsidR="00433898" w:rsidRDefault="00433898" w:rsidP="00433898">
            <w:pPr>
              <w:jc w:val="center"/>
              <w:rPr>
                <w:rFonts w:ascii="Calibri" w:eastAsia="Calibri" w:hAnsi="Calibri" w:cs="Calibri"/>
                <w:sz w:val="24"/>
                <w:szCs w:val="24"/>
              </w:rPr>
            </w:pPr>
            <w:r>
              <w:rPr>
                <w:rFonts w:ascii="Calibri" w:eastAsia="Calibri" w:hAnsi="Calibri" w:cs="Calibri"/>
                <w:sz w:val="24"/>
                <w:szCs w:val="24"/>
              </w:rPr>
              <w:t>z</w:t>
            </w:r>
          </w:p>
        </w:tc>
        <w:tc>
          <w:tcPr>
            <w:tcW w:w="6120" w:type="dxa"/>
          </w:tcPr>
          <w:p w:rsidR="00433898" w:rsidRDefault="00433898" w:rsidP="00433898">
            <w:pPr>
              <w:rPr>
                <w:rFonts w:ascii="Calibri" w:eastAsia="Calibri" w:hAnsi="Calibri" w:cs="Calibri"/>
                <w:sz w:val="24"/>
                <w:szCs w:val="24"/>
              </w:rPr>
            </w:pPr>
            <w:r>
              <w:rPr>
                <w:rFonts w:ascii="Calibri" w:eastAsia="Calibri" w:hAnsi="Calibri" w:cs="Calibri"/>
                <w:sz w:val="24"/>
                <w:szCs w:val="24"/>
              </w:rPr>
              <w:t>CANCELLED – Fully disencumbers fund without expenditure</w:t>
            </w:r>
          </w:p>
        </w:tc>
      </w:tr>
    </w:tbl>
    <w:p w:rsidR="00433898" w:rsidRDefault="00433898" w:rsidP="00433898">
      <w:pPr>
        <w:spacing w:after="0"/>
        <w:ind w:left="720"/>
        <w:rPr>
          <w:rFonts w:ascii="Calibri" w:eastAsia="Calibri" w:hAnsi="Calibri" w:cs="Calibri"/>
          <w:sz w:val="24"/>
          <w:szCs w:val="24"/>
        </w:rPr>
      </w:pPr>
    </w:p>
    <w:p w:rsidR="00163C23" w:rsidRDefault="00163C23" w:rsidP="00433898">
      <w:pPr>
        <w:spacing w:after="0"/>
        <w:ind w:left="720"/>
        <w:rPr>
          <w:rFonts w:ascii="Calibri" w:eastAsia="Calibri" w:hAnsi="Calibri" w:cs="Calibri"/>
          <w:sz w:val="24"/>
          <w:szCs w:val="24"/>
        </w:rPr>
      </w:pPr>
    </w:p>
    <w:p w:rsidR="00433898" w:rsidRDefault="00433898" w:rsidP="00433898">
      <w:pPr>
        <w:spacing w:after="0"/>
        <w:ind w:left="720"/>
        <w:rPr>
          <w:rFonts w:ascii="Calibri" w:eastAsia="Calibri" w:hAnsi="Calibri" w:cs="Calibri"/>
          <w:sz w:val="24"/>
          <w:szCs w:val="24"/>
        </w:rPr>
      </w:pPr>
    </w:p>
    <w:p w:rsidR="004B1080" w:rsidRDefault="00163C23" w:rsidP="00163C23">
      <w:pPr>
        <w:pStyle w:val="Heading2"/>
        <w:rPr>
          <w:rFonts w:eastAsia="Calibri"/>
        </w:rPr>
      </w:pPr>
      <w:r>
        <w:rPr>
          <w:rFonts w:eastAsia="Calibri"/>
        </w:rPr>
        <w:t>Titles paid and invoiced</w:t>
      </w:r>
    </w:p>
    <w:p w:rsidR="00B64D6D" w:rsidRPr="00407E50" w:rsidRDefault="00E221FD" w:rsidP="00163C23">
      <w:pPr>
        <w:spacing w:after="0"/>
        <w:rPr>
          <w:rFonts w:ascii="Calibri" w:eastAsia="Calibri" w:hAnsi="Calibri" w:cs="Calibri"/>
          <w:sz w:val="24"/>
          <w:szCs w:val="24"/>
        </w:rPr>
      </w:pPr>
      <w:r>
        <w:rPr>
          <w:rFonts w:ascii="Calibri" w:eastAsia="Calibri" w:hAnsi="Calibri" w:cs="Calibri"/>
          <w:sz w:val="24"/>
          <w:szCs w:val="24"/>
        </w:rPr>
        <w:t xml:space="preserve">When an order record is marked as paid by the posting of an invoice, </w:t>
      </w:r>
      <w:r w:rsidR="00407E50">
        <w:rPr>
          <w:rFonts w:ascii="Calibri" w:eastAsia="Calibri" w:hAnsi="Calibri" w:cs="Calibri"/>
          <w:sz w:val="24"/>
          <w:szCs w:val="24"/>
        </w:rPr>
        <w:t xml:space="preserve">the amount paid is marked as an </w:t>
      </w:r>
      <w:r w:rsidR="00407E50">
        <w:rPr>
          <w:rFonts w:ascii="Calibri" w:eastAsia="Calibri" w:hAnsi="Calibri" w:cs="Calibri"/>
          <w:b/>
          <w:sz w:val="24"/>
          <w:szCs w:val="24"/>
        </w:rPr>
        <w:t>expenditure</w:t>
      </w:r>
      <w:r w:rsidR="00407E50">
        <w:rPr>
          <w:rFonts w:ascii="Calibri" w:eastAsia="Calibri" w:hAnsi="Calibri" w:cs="Calibri"/>
          <w:sz w:val="24"/>
          <w:szCs w:val="24"/>
        </w:rPr>
        <w:t xml:space="preserve"> on the order record’</w:t>
      </w:r>
      <w:r w:rsidR="00E3327D">
        <w:rPr>
          <w:rFonts w:ascii="Calibri" w:eastAsia="Calibri" w:hAnsi="Calibri" w:cs="Calibri"/>
          <w:sz w:val="24"/>
          <w:szCs w:val="24"/>
        </w:rPr>
        <w:t>s fund.  The previous encumbrance on the order records is disencumbered at the same time.</w:t>
      </w:r>
    </w:p>
    <w:tbl>
      <w:tblPr>
        <w:tblStyle w:val="TableGrid"/>
        <w:tblW w:w="7080" w:type="dxa"/>
        <w:tblInd w:w="1825" w:type="dxa"/>
        <w:tblLook w:val="04A0" w:firstRow="1" w:lastRow="0" w:firstColumn="1" w:lastColumn="0" w:noHBand="0" w:noVBand="1"/>
      </w:tblPr>
      <w:tblGrid>
        <w:gridCol w:w="960"/>
        <w:gridCol w:w="6120"/>
      </w:tblGrid>
      <w:tr w:rsidR="00D37747" w:rsidTr="00965CF0">
        <w:tc>
          <w:tcPr>
            <w:tcW w:w="960" w:type="dxa"/>
          </w:tcPr>
          <w:p w:rsidR="00D37747" w:rsidRPr="004E5FD7" w:rsidRDefault="00D37747" w:rsidP="00965CF0">
            <w:pPr>
              <w:jc w:val="center"/>
              <w:rPr>
                <w:rFonts w:ascii="Calibri" w:eastAsia="Calibri" w:hAnsi="Calibri" w:cs="Calibri"/>
                <w:b/>
                <w:sz w:val="24"/>
                <w:szCs w:val="24"/>
              </w:rPr>
            </w:pPr>
            <w:r>
              <w:rPr>
                <w:rFonts w:ascii="Calibri" w:eastAsia="Calibri" w:hAnsi="Calibri" w:cs="Calibri"/>
                <w:b/>
                <w:sz w:val="24"/>
                <w:szCs w:val="24"/>
              </w:rPr>
              <w:t>Code</w:t>
            </w:r>
          </w:p>
        </w:tc>
        <w:tc>
          <w:tcPr>
            <w:tcW w:w="6120" w:type="dxa"/>
          </w:tcPr>
          <w:p w:rsidR="00D37747" w:rsidRPr="004E5FD7" w:rsidRDefault="00D37747" w:rsidP="00965CF0">
            <w:pPr>
              <w:jc w:val="center"/>
              <w:rPr>
                <w:rFonts w:ascii="Calibri" w:eastAsia="Calibri" w:hAnsi="Calibri" w:cs="Calibri"/>
                <w:b/>
                <w:sz w:val="24"/>
                <w:szCs w:val="24"/>
              </w:rPr>
            </w:pPr>
            <w:r>
              <w:rPr>
                <w:rFonts w:ascii="Calibri" w:eastAsia="Calibri" w:hAnsi="Calibri" w:cs="Calibri"/>
                <w:b/>
                <w:sz w:val="24"/>
                <w:szCs w:val="24"/>
              </w:rPr>
              <w:t>Action</w:t>
            </w:r>
          </w:p>
        </w:tc>
      </w:tr>
      <w:tr w:rsidR="00D37747" w:rsidTr="00965CF0">
        <w:tc>
          <w:tcPr>
            <w:tcW w:w="960" w:type="dxa"/>
          </w:tcPr>
          <w:p w:rsidR="00D37747" w:rsidRDefault="00D37747" w:rsidP="00965CF0">
            <w:pPr>
              <w:jc w:val="center"/>
              <w:rPr>
                <w:rFonts w:ascii="Calibri" w:eastAsia="Calibri" w:hAnsi="Calibri" w:cs="Calibri"/>
                <w:sz w:val="24"/>
                <w:szCs w:val="24"/>
              </w:rPr>
            </w:pPr>
            <w:r>
              <w:rPr>
                <w:rFonts w:ascii="Calibri" w:eastAsia="Calibri" w:hAnsi="Calibri" w:cs="Calibri"/>
                <w:sz w:val="24"/>
                <w:szCs w:val="24"/>
              </w:rPr>
              <w:t>a and d</w:t>
            </w:r>
          </w:p>
        </w:tc>
        <w:tc>
          <w:tcPr>
            <w:tcW w:w="6120" w:type="dxa"/>
          </w:tcPr>
          <w:p w:rsidR="00D37747" w:rsidRDefault="00D37747" w:rsidP="00965CF0">
            <w:pPr>
              <w:rPr>
                <w:rFonts w:ascii="Calibri" w:eastAsia="Calibri" w:hAnsi="Calibri" w:cs="Calibri"/>
                <w:sz w:val="24"/>
                <w:szCs w:val="24"/>
              </w:rPr>
            </w:pPr>
            <w:r>
              <w:rPr>
                <w:rFonts w:ascii="Calibri" w:eastAsia="Calibri" w:hAnsi="Calibri" w:cs="Calibri"/>
                <w:sz w:val="24"/>
                <w:szCs w:val="24"/>
              </w:rPr>
              <w:t>FULLY PAID and SERIAL PAID—Disencumbers fund and marks the payment as an expenditure in the fund</w:t>
            </w:r>
          </w:p>
        </w:tc>
      </w:tr>
      <w:tr w:rsidR="00D37747" w:rsidTr="00965CF0">
        <w:tc>
          <w:tcPr>
            <w:tcW w:w="960" w:type="dxa"/>
          </w:tcPr>
          <w:p w:rsidR="00D37747" w:rsidRDefault="00D37747" w:rsidP="00965CF0">
            <w:pPr>
              <w:jc w:val="center"/>
              <w:rPr>
                <w:rFonts w:ascii="Calibri" w:eastAsia="Calibri" w:hAnsi="Calibri" w:cs="Calibri"/>
                <w:sz w:val="24"/>
                <w:szCs w:val="24"/>
              </w:rPr>
            </w:pPr>
            <w:r>
              <w:rPr>
                <w:rFonts w:ascii="Calibri" w:eastAsia="Calibri" w:hAnsi="Calibri" w:cs="Calibri"/>
                <w:sz w:val="24"/>
                <w:szCs w:val="24"/>
              </w:rPr>
              <w:t>q and e</w:t>
            </w:r>
          </w:p>
        </w:tc>
        <w:tc>
          <w:tcPr>
            <w:tcW w:w="6120" w:type="dxa"/>
          </w:tcPr>
          <w:p w:rsidR="00D37747" w:rsidRDefault="00D37747" w:rsidP="00965CF0">
            <w:pPr>
              <w:rPr>
                <w:rFonts w:ascii="Calibri" w:eastAsia="Calibri" w:hAnsi="Calibri" w:cs="Calibri"/>
                <w:sz w:val="24"/>
                <w:szCs w:val="24"/>
              </w:rPr>
            </w:pPr>
            <w:r>
              <w:rPr>
                <w:rFonts w:ascii="Calibri" w:eastAsia="Calibri" w:hAnsi="Calibri" w:cs="Calibri"/>
                <w:sz w:val="24"/>
                <w:szCs w:val="24"/>
              </w:rPr>
              <w:t>PART PAID and SER PART PAID—Only part of the encumbrance is removed and marked as expenditure</w:t>
            </w:r>
          </w:p>
        </w:tc>
      </w:tr>
      <w:tr w:rsidR="00D37747" w:rsidTr="00965CF0">
        <w:tc>
          <w:tcPr>
            <w:tcW w:w="960" w:type="dxa"/>
          </w:tcPr>
          <w:p w:rsidR="00D37747" w:rsidRPr="006B78A2" w:rsidRDefault="00D37747" w:rsidP="00965CF0">
            <w:pPr>
              <w:jc w:val="center"/>
              <w:rPr>
                <w:rFonts w:ascii="Calibri" w:eastAsia="Calibri" w:hAnsi="Calibri" w:cs="Calibri"/>
                <w:sz w:val="24"/>
                <w:szCs w:val="24"/>
              </w:rPr>
            </w:pPr>
            <w:r>
              <w:rPr>
                <w:rFonts w:ascii="Calibri" w:eastAsia="Calibri" w:hAnsi="Calibri" w:cs="Calibri"/>
                <w:sz w:val="24"/>
                <w:szCs w:val="24"/>
              </w:rPr>
              <w:t>g</w:t>
            </w:r>
          </w:p>
        </w:tc>
        <w:tc>
          <w:tcPr>
            <w:tcW w:w="6120" w:type="dxa"/>
          </w:tcPr>
          <w:p w:rsidR="00D37747" w:rsidRDefault="00D37747" w:rsidP="00965CF0">
            <w:pPr>
              <w:rPr>
                <w:rFonts w:ascii="Calibri" w:eastAsia="Calibri" w:hAnsi="Calibri" w:cs="Calibri"/>
                <w:sz w:val="24"/>
                <w:szCs w:val="24"/>
              </w:rPr>
            </w:pPr>
            <w:r>
              <w:rPr>
                <w:rFonts w:ascii="Calibri" w:eastAsia="Calibri" w:hAnsi="Calibri" w:cs="Calibri"/>
                <w:sz w:val="24"/>
                <w:szCs w:val="24"/>
              </w:rPr>
              <w:t>SERIAL LIENED—No encumbrance when order is created, but disencumbers the fund when a payment is made.  Also used for subscriptions.</w:t>
            </w:r>
          </w:p>
        </w:tc>
      </w:tr>
    </w:tbl>
    <w:p w:rsidR="00C73EB8" w:rsidRDefault="00C73EB8"/>
    <w:sectPr w:rsidR="00C73EB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262" w:rsidRDefault="00AE4262" w:rsidP="00EC4941">
      <w:pPr>
        <w:spacing w:after="0" w:line="240" w:lineRule="auto"/>
      </w:pPr>
      <w:r>
        <w:separator/>
      </w:r>
    </w:p>
  </w:endnote>
  <w:endnote w:type="continuationSeparator" w:id="0">
    <w:p w:rsidR="00AE4262" w:rsidRDefault="00AE4262" w:rsidP="00EC4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262" w:rsidRDefault="00AE4262" w:rsidP="00EC4941">
      <w:pPr>
        <w:spacing w:after="0" w:line="240" w:lineRule="auto"/>
      </w:pPr>
      <w:r>
        <w:separator/>
      </w:r>
    </w:p>
  </w:footnote>
  <w:footnote w:type="continuationSeparator" w:id="0">
    <w:p w:rsidR="00AE4262" w:rsidRDefault="00AE4262" w:rsidP="00EC4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41" w:rsidRDefault="00EC4941">
    <w:pPr>
      <w:pStyle w:val="Header"/>
    </w:pPr>
    <w:r>
      <w:rPr>
        <w:noProof/>
      </w:rPr>
      <mc:AlternateContent>
        <mc:Choice Requires="wps">
          <w:drawing>
            <wp:anchor distT="45720" distB="45720" distL="114300" distR="114300" simplePos="0" relativeHeight="251659264" behindDoc="0" locked="0" layoutInCell="1" allowOverlap="1" wp14:anchorId="1CA2510B" wp14:editId="1A0BD34A">
              <wp:simplePos x="0" y="0"/>
              <wp:positionH relativeFrom="column">
                <wp:posOffset>3869055</wp:posOffset>
              </wp:positionH>
              <wp:positionV relativeFrom="paragraph">
                <wp:posOffset>119380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C4941" w:rsidRDefault="00EC4941" w:rsidP="00EC4941">
                          <w:pPr>
                            <w:jc w:val="right"/>
                          </w:pPr>
                          <w:r>
                            <w:t>Acquisitions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CA2510B" id="_x0000_t202" coordsize="21600,21600" o:spt="202" path="m,l,21600r21600,l21600,xe">
              <v:stroke joinstyle="miter"/>
              <v:path gradientshapeok="t" o:connecttype="rect"/>
            </v:shapetype>
            <v:shape id="Text Box 2" o:spid="_x0000_s1026" type="#_x0000_t202" style="position:absolute;margin-left:304.65pt;margin-top:9.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" stroked="f">
              <v:textbox style="mso-fit-shape-to-text:t">
                <w:txbxContent>
                  <w:p w:rsidR="00EC4941" w:rsidRDefault="00EC4941" w:rsidP="00EC4941">
                    <w:pPr>
                      <w:jc w:val="right"/>
                    </w:pPr>
                    <w:r>
                      <w:t>Acquisitions</w:t>
                    </w:r>
                  </w:p>
                </w:txbxContent>
              </v:textbox>
              <w10:wrap type="square"/>
            </v:shape>
          </w:pict>
        </mc:Fallback>
      </mc:AlternateContent>
    </w:r>
    <w:r>
      <w:rPr>
        <w:noProof/>
      </w:rPr>
      <w:drawing>
        <wp:inline distT="0" distB="0" distL="0" distR="0" wp14:anchorId="289A5EAB" wp14:editId="452E8D01">
          <wp:extent cx="2790825" cy="9080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BIUS_logo_2c.png"/>
                  <pic:cNvPicPr/>
                </pic:nvPicPr>
                <pic:blipFill>
                  <a:blip r:embed="rId1">
                    <a:extLst>
                      <a:ext uri="{28A0092B-C50C-407E-A947-70E740481C1C}">
                        <a14:useLocalDpi xmlns:a14="http://schemas.microsoft.com/office/drawing/2010/main" val="0"/>
                      </a:ext>
                    </a:extLst>
                  </a:blip>
                  <a:stretch>
                    <a:fillRect/>
                  </a:stretch>
                </pic:blipFill>
                <pic:spPr>
                  <a:xfrm>
                    <a:off x="0" y="0"/>
                    <a:ext cx="2819543" cy="917422"/>
                  </a:xfrm>
                  <a:prstGeom prst="rect">
                    <a:avLst/>
                  </a:prstGeom>
                </pic:spPr>
              </pic:pic>
            </a:graphicData>
          </a:graphic>
        </wp:inline>
      </w:drawing>
    </w:r>
  </w:p>
  <w:p w:rsidR="00EC4941" w:rsidRDefault="00EC49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47"/>
    <w:rsid w:val="000A31EA"/>
    <w:rsid w:val="00163C23"/>
    <w:rsid w:val="00407E50"/>
    <w:rsid w:val="00433898"/>
    <w:rsid w:val="004B1080"/>
    <w:rsid w:val="007A2342"/>
    <w:rsid w:val="00893460"/>
    <w:rsid w:val="00A34A23"/>
    <w:rsid w:val="00AE4262"/>
    <w:rsid w:val="00B64D6D"/>
    <w:rsid w:val="00C73EB8"/>
    <w:rsid w:val="00CB642B"/>
    <w:rsid w:val="00D37747"/>
    <w:rsid w:val="00E221FD"/>
    <w:rsid w:val="00E3327D"/>
    <w:rsid w:val="00EC4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A18AA6-7883-4619-895D-2E278263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77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23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74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377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A234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C4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941"/>
  </w:style>
  <w:style w:type="paragraph" w:styleId="Footer">
    <w:name w:val="footer"/>
    <w:basedOn w:val="Normal"/>
    <w:link w:val="FooterChar"/>
    <w:uiPriority w:val="99"/>
    <w:unhideWhenUsed/>
    <w:rsid w:val="00EC4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941"/>
  </w:style>
  <w:style w:type="paragraph" w:styleId="BalloonText">
    <w:name w:val="Balloon Text"/>
    <w:basedOn w:val="Normal"/>
    <w:link w:val="BalloonTextChar"/>
    <w:uiPriority w:val="99"/>
    <w:semiHidden/>
    <w:unhideWhenUsed/>
    <w:rsid w:val="00EC4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Parsons</dc:creator>
  <cp:keywords/>
  <dc:description/>
  <cp:lastModifiedBy>Jennifer Parsons</cp:lastModifiedBy>
  <cp:revision>10</cp:revision>
  <cp:lastPrinted>2016-05-09T12:53:00Z</cp:lastPrinted>
  <dcterms:created xsi:type="dcterms:W3CDTF">2016-05-06T15:27:00Z</dcterms:created>
  <dcterms:modified xsi:type="dcterms:W3CDTF">2016-05-09T12:56:00Z</dcterms:modified>
</cp:coreProperties>
</file>